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3A4429" w:rsidRPr="003A4429" w:rsidRDefault="008F4B60" w:rsidP="003A4429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3A4429">
        <w:rPr>
          <w:rFonts w:ascii="Times New Roman" w:hAnsi="Times New Roman" w:cs="Times New Roman"/>
          <w:sz w:val="28"/>
          <w:szCs w:val="28"/>
        </w:rPr>
        <w:t xml:space="preserve">за </w:t>
      </w:r>
      <w:r w:rsidR="007F594A" w:rsidRPr="003A4429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36A08" w:rsidRPr="003A4429">
        <w:rPr>
          <w:rFonts w:ascii="Times New Roman" w:hAnsi="Times New Roman" w:cs="Times New Roman"/>
          <w:sz w:val="28"/>
          <w:szCs w:val="28"/>
        </w:rPr>
        <w:t xml:space="preserve">с </w:t>
      </w:r>
      <w:r w:rsidR="003A4429" w:rsidRPr="003A4429">
        <w:rPr>
          <w:rFonts w:ascii="Times New Roman" w:hAnsi="Times New Roman" w:cs="Times New Roman"/>
          <w:sz w:val="28"/>
          <w:szCs w:val="28"/>
        </w:rPr>
        <w:t>25.07.2022 по 31.07.2022:</w:t>
      </w:r>
    </w:p>
    <w:p w:rsidR="003A4429" w:rsidRPr="003A4429" w:rsidRDefault="003A4429" w:rsidP="003A442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429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– 6 428, из них в электронном виде - 2884, что составляет 44,9 % от общего количества заявлений;</w:t>
      </w:r>
    </w:p>
    <w:p w:rsidR="003A4429" w:rsidRPr="003A4429" w:rsidRDefault="003A4429" w:rsidP="003A442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- 93, из них в электронном виде - 75, что составляет 80,6 % от общего количества заявлений;</w:t>
      </w:r>
    </w:p>
    <w:p w:rsidR="003A4429" w:rsidRPr="003A4429" w:rsidRDefault="003A4429" w:rsidP="003A442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- 239 (97 %);</w:t>
      </w:r>
    </w:p>
    <w:p w:rsidR="003A4429" w:rsidRPr="003A4429" w:rsidRDefault="003A4429" w:rsidP="003A442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21 земельный участок и 12 гаражей.</w:t>
      </w:r>
    </w:p>
    <w:p w:rsidR="00030547" w:rsidRDefault="00030547" w:rsidP="003A4429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10E1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2022-08-07T18:37:00Z</dcterms:created>
  <dcterms:modified xsi:type="dcterms:W3CDTF">2022-08-07T18:37:00Z</dcterms:modified>
</cp:coreProperties>
</file>