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AD010D" w:rsidRPr="00AD010D" w:rsidRDefault="008F4B60" w:rsidP="00AD010D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3A4429">
        <w:rPr>
          <w:rFonts w:ascii="Times New Roman" w:hAnsi="Times New Roman" w:cs="Times New Roman"/>
          <w:sz w:val="28"/>
          <w:szCs w:val="28"/>
        </w:rPr>
        <w:t xml:space="preserve">за </w:t>
      </w:r>
      <w:r w:rsidR="007F594A" w:rsidRPr="003A4429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AD010D" w:rsidRPr="00AD010D">
        <w:rPr>
          <w:rFonts w:ascii="Times New Roman" w:hAnsi="Times New Roman" w:cs="Times New Roman"/>
          <w:sz w:val="28"/>
          <w:szCs w:val="28"/>
        </w:rPr>
        <w:t>с 22.08 по 28.08.2022:</w:t>
      </w:r>
    </w:p>
    <w:p w:rsidR="00AD010D" w:rsidRPr="00AD010D" w:rsidRDefault="00AD010D" w:rsidP="00AD010D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D010D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 и (или) государственной регистрации прав – 6 370, из них в электронном виде -   2 850, что составляет 44,7 % от общего количества заявлений;</w:t>
      </w:r>
    </w:p>
    <w:p w:rsidR="00AD010D" w:rsidRPr="00AD010D" w:rsidRDefault="00AD010D" w:rsidP="00AD010D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D010D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- 122, из них в электронном виде - 90, что составляет 73,8 % от общего количества заявлений;</w:t>
      </w:r>
    </w:p>
    <w:p w:rsidR="00AD010D" w:rsidRPr="00AD010D" w:rsidRDefault="00AD010D" w:rsidP="00AD010D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D010D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- 265 (86,5%);</w:t>
      </w:r>
    </w:p>
    <w:p w:rsidR="006A69AE" w:rsidRDefault="00AD010D" w:rsidP="00AD010D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AD010D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18 земельных участков и 12 гаражей.</w:t>
      </w: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BE0" w:rsidRDefault="00E63BE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AD010D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60E03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2022-09-03T06:41:00Z</dcterms:created>
  <dcterms:modified xsi:type="dcterms:W3CDTF">2022-09-03T06:41:00Z</dcterms:modified>
</cp:coreProperties>
</file>